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hint="eastAsia" w:eastAsia="黑体"/>
          <w:sz w:val="30"/>
          <w:szCs w:val="30"/>
          <w:lang w:val="en-US" w:eastAsia="zh-CN"/>
        </w:rPr>
      </w:pPr>
      <w:r>
        <w:rPr>
          <w:rFonts w:eastAsia="黑体"/>
          <w:sz w:val="30"/>
          <w:szCs w:val="30"/>
        </w:rPr>
        <w:t>附件</w:t>
      </w:r>
      <w:r>
        <w:rPr>
          <w:rFonts w:hint="eastAsia" w:eastAsia="黑体"/>
          <w:sz w:val="30"/>
          <w:szCs w:val="30"/>
          <w:lang w:val="en-US" w:eastAsia="zh-CN"/>
        </w:rPr>
        <w:t>4</w:t>
      </w:r>
    </w:p>
    <w:p>
      <w:pPr>
        <w:spacing w:line="540" w:lineRule="exact"/>
        <w:rPr>
          <w:rFonts w:hint="eastAsia" w:eastAsia="黑体"/>
          <w:sz w:val="30"/>
          <w:szCs w:val="30"/>
          <w:lang w:val="en-US" w:eastAsia="zh-CN"/>
        </w:rPr>
      </w:pPr>
    </w:p>
    <w:p>
      <w:pPr>
        <w:spacing w:line="54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2020年度企业财务会计决算报表指标</w:t>
      </w:r>
    </w:p>
    <w:p>
      <w:pPr>
        <w:spacing w:line="54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修订情况和常见问题说明</w:t>
      </w:r>
    </w:p>
    <w:p>
      <w:pPr>
        <w:spacing w:line="540" w:lineRule="exact"/>
        <w:rPr>
          <w:rFonts w:eastAsia="方正小标宋简体"/>
          <w:sz w:val="32"/>
          <w:szCs w:val="32"/>
        </w:rPr>
      </w:pPr>
    </w:p>
    <w:p>
      <w:pPr>
        <w:spacing w:line="540" w:lineRule="exact"/>
        <w:ind w:firstLine="640" w:firstLineChars="200"/>
        <w:rPr>
          <w:rFonts w:eastAsia="黑体"/>
          <w:bCs/>
          <w:sz w:val="32"/>
          <w:szCs w:val="32"/>
        </w:rPr>
      </w:pPr>
      <w:r>
        <w:rPr>
          <w:rFonts w:eastAsia="黑体"/>
          <w:bCs/>
          <w:sz w:val="32"/>
          <w:szCs w:val="32"/>
        </w:rPr>
        <w:t>一、决算报表指标主要修订情况</w:t>
      </w:r>
    </w:p>
    <w:p>
      <w:pPr>
        <w:spacing w:line="540" w:lineRule="exact"/>
        <w:ind w:firstLine="640" w:firstLineChars="200"/>
        <w:rPr>
          <w:rFonts w:eastAsia="楷体_GB2312"/>
          <w:sz w:val="32"/>
          <w:szCs w:val="32"/>
        </w:rPr>
      </w:pPr>
      <w:r>
        <w:rPr>
          <w:rFonts w:eastAsia="楷体_GB2312"/>
          <w:sz w:val="32"/>
          <w:szCs w:val="32"/>
        </w:rPr>
        <w:t>（一）现金流量表</w:t>
      </w:r>
    </w:p>
    <w:p>
      <w:pPr>
        <w:spacing w:line="540" w:lineRule="exact"/>
        <w:ind w:firstLine="640" w:firstLineChars="200"/>
        <w:rPr>
          <w:rFonts w:eastAsia="楷体_GB2312"/>
          <w:sz w:val="32"/>
          <w:szCs w:val="32"/>
        </w:rPr>
      </w:pPr>
      <w:r>
        <w:rPr>
          <w:rFonts w:eastAsia="仿宋_GB2312"/>
          <w:sz w:val="32"/>
          <w:szCs w:val="32"/>
        </w:rPr>
        <w:t>删除“</w:t>
      </w:r>
      <w:r>
        <w:rPr>
          <w:rFonts w:ascii="Cambria Math" w:hAnsi="Cambria Math" w:eastAsia="仿宋_GB2312" w:cs="Cambria Math"/>
          <w:sz w:val="32"/>
          <w:szCs w:val="32"/>
        </w:rPr>
        <w:t>△</w:t>
      </w:r>
      <w:r>
        <w:rPr>
          <w:rFonts w:eastAsia="仿宋_GB2312"/>
          <w:sz w:val="32"/>
          <w:szCs w:val="32"/>
        </w:rPr>
        <w:t>发行债券收到的现金”。</w:t>
      </w:r>
    </w:p>
    <w:p>
      <w:pPr>
        <w:spacing w:line="540" w:lineRule="exact"/>
        <w:ind w:firstLine="640" w:firstLineChars="200"/>
        <w:rPr>
          <w:rFonts w:eastAsia="楷体_GB2312"/>
          <w:sz w:val="32"/>
          <w:szCs w:val="32"/>
        </w:rPr>
      </w:pPr>
      <w:r>
        <w:rPr>
          <w:rFonts w:eastAsia="楷体_GB2312"/>
          <w:sz w:val="32"/>
          <w:szCs w:val="32"/>
        </w:rPr>
        <w:t>（二）国有资本权益变动情况表</w:t>
      </w:r>
    </w:p>
    <w:p>
      <w:pPr>
        <w:spacing w:line="540" w:lineRule="exact"/>
        <w:ind w:firstLine="640" w:firstLineChars="200"/>
        <w:rPr>
          <w:rFonts w:eastAsia="仿宋_GB2312"/>
          <w:sz w:val="32"/>
          <w:szCs w:val="32"/>
        </w:rPr>
      </w:pPr>
      <w:r>
        <w:rPr>
          <w:rFonts w:eastAsia="仿宋_GB2312"/>
          <w:sz w:val="32"/>
          <w:szCs w:val="32"/>
        </w:rPr>
        <w:t>明确</w:t>
      </w:r>
      <w:r>
        <w:rPr>
          <w:rFonts w:eastAsia="仿宋_GB2312"/>
          <w:b/>
          <w:sz w:val="32"/>
          <w:szCs w:val="32"/>
        </w:rPr>
        <w:t>“中央和地方政府确定的其他因素”</w:t>
      </w:r>
      <w:r>
        <w:rPr>
          <w:rFonts w:eastAsia="仿宋_GB2312"/>
          <w:sz w:val="32"/>
          <w:szCs w:val="32"/>
        </w:rPr>
        <w:t>填报口径：因国家、国有单位减少投资和因执行新准则等会计调整因素导致减少国有资本权益的填入此项目。</w:t>
      </w:r>
    </w:p>
    <w:p>
      <w:pPr>
        <w:spacing w:line="540" w:lineRule="exact"/>
        <w:ind w:firstLine="640" w:firstLineChars="200"/>
        <w:rPr>
          <w:rFonts w:eastAsia="楷体_GB2312"/>
          <w:sz w:val="32"/>
          <w:szCs w:val="32"/>
        </w:rPr>
      </w:pPr>
      <w:r>
        <w:rPr>
          <w:rFonts w:eastAsia="楷体_GB2312"/>
          <w:sz w:val="32"/>
          <w:szCs w:val="32"/>
        </w:rPr>
        <w:t>（三）基本情况表</w:t>
      </w:r>
    </w:p>
    <w:p>
      <w:pPr>
        <w:spacing w:line="540" w:lineRule="exact"/>
        <w:ind w:firstLine="640" w:firstLineChars="200"/>
        <w:rPr>
          <w:rFonts w:eastAsia="仿宋_GB2312"/>
          <w:sz w:val="32"/>
          <w:szCs w:val="32"/>
        </w:rPr>
      </w:pPr>
      <w:r>
        <w:rPr>
          <w:rFonts w:eastAsia="仿宋_GB2312"/>
          <w:sz w:val="32"/>
          <w:szCs w:val="32"/>
        </w:rPr>
        <w:t>原“本年科技支出合计”修改为</w:t>
      </w:r>
      <w:r>
        <w:rPr>
          <w:rFonts w:eastAsia="仿宋_GB2312"/>
          <w:b/>
          <w:sz w:val="32"/>
          <w:szCs w:val="32"/>
        </w:rPr>
        <w:t>“本年研发（R&amp;D）经费投入合计”</w:t>
      </w:r>
      <w:r>
        <w:rPr>
          <w:rFonts w:eastAsia="仿宋_GB2312"/>
          <w:sz w:val="32"/>
          <w:szCs w:val="32"/>
        </w:rPr>
        <w:t>，</w:t>
      </w:r>
      <w:r>
        <w:rPr>
          <w:rFonts w:eastAsia="仿宋_GB2312"/>
          <w:b/>
          <w:sz w:val="32"/>
          <w:szCs w:val="32"/>
        </w:rPr>
        <w:t>其中项</w:t>
      </w:r>
      <w:r>
        <w:rPr>
          <w:rFonts w:eastAsia="仿宋_GB2312"/>
          <w:sz w:val="32"/>
          <w:szCs w:val="32"/>
        </w:rPr>
        <w:t>同时做部分修改。</w:t>
      </w:r>
    </w:p>
    <w:p>
      <w:pPr>
        <w:spacing w:line="540" w:lineRule="exact"/>
        <w:ind w:firstLine="640" w:firstLineChars="200"/>
        <w:rPr>
          <w:rFonts w:eastAsia="楷体_GB2312"/>
          <w:sz w:val="32"/>
          <w:szCs w:val="32"/>
        </w:rPr>
      </w:pPr>
      <w:r>
        <w:rPr>
          <w:rFonts w:eastAsia="楷体_GB2312"/>
          <w:sz w:val="32"/>
          <w:szCs w:val="32"/>
        </w:rPr>
        <w:t>（四）人力资源情况表</w:t>
      </w:r>
    </w:p>
    <w:p>
      <w:pPr>
        <w:spacing w:line="540" w:lineRule="exact"/>
        <w:ind w:firstLine="640" w:firstLineChars="200"/>
        <w:rPr>
          <w:rFonts w:eastAsia="仿宋_GB2312"/>
          <w:sz w:val="32"/>
          <w:szCs w:val="32"/>
        </w:rPr>
      </w:pPr>
      <w:r>
        <w:rPr>
          <w:rFonts w:eastAsia="仿宋_GB2312"/>
          <w:sz w:val="32"/>
          <w:szCs w:val="32"/>
        </w:rPr>
        <w:t>“本年实际发放职工工资总额”下增加“</w:t>
      </w:r>
      <w:r>
        <w:rPr>
          <w:rFonts w:eastAsia="仿宋_GB2312"/>
          <w:b/>
          <w:sz w:val="32"/>
          <w:szCs w:val="32"/>
        </w:rPr>
        <w:t>其中：本年实际发放在岗职工工资总额</w:t>
      </w:r>
      <w:r>
        <w:rPr>
          <w:rFonts w:eastAsia="仿宋_GB2312"/>
          <w:sz w:val="32"/>
          <w:szCs w:val="32"/>
        </w:rPr>
        <w:t>”。</w:t>
      </w:r>
    </w:p>
    <w:p>
      <w:pPr>
        <w:spacing w:line="540" w:lineRule="exact"/>
        <w:ind w:firstLine="640" w:firstLineChars="200"/>
        <w:rPr>
          <w:rFonts w:eastAsia="楷体_GB2312"/>
          <w:sz w:val="32"/>
          <w:szCs w:val="32"/>
        </w:rPr>
      </w:pPr>
      <w:r>
        <w:rPr>
          <w:rFonts w:eastAsia="楷体_GB2312"/>
          <w:sz w:val="32"/>
          <w:szCs w:val="32"/>
        </w:rPr>
        <w:t>（五）带息负债情况表</w:t>
      </w:r>
    </w:p>
    <w:p>
      <w:pPr>
        <w:spacing w:line="540" w:lineRule="exact"/>
        <w:ind w:firstLine="640" w:firstLineChars="200"/>
        <w:rPr>
          <w:rFonts w:eastAsia="仿宋_GB2312"/>
          <w:sz w:val="32"/>
          <w:szCs w:val="32"/>
        </w:rPr>
      </w:pPr>
      <w:r>
        <w:rPr>
          <w:rFonts w:eastAsia="仿宋_GB2312"/>
          <w:sz w:val="32"/>
          <w:szCs w:val="32"/>
        </w:rPr>
        <w:t>1.取消“应付债券”“租赁负债”项目本金年末余额与资产负债表对应项目的勾稽公式。</w:t>
      </w:r>
    </w:p>
    <w:p>
      <w:pPr>
        <w:spacing w:line="540" w:lineRule="exact"/>
        <w:ind w:firstLine="640" w:firstLineChars="200"/>
        <w:rPr>
          <w:rFonts w:eastAsia="仿宋"/>
          <w:sz w:val="32"/>
          <w:szCs w:val="32"/>
        </w:rPr>
      </w:pPr>
      <w:r>
        <w:rPr>
          <w:rFonts w:eastAsia="仿宋_GB2312"/>
          <w:sz w:val="32"/>
          <w:szCs w:val="32"/>
        </w:rPr>
        <w:t>2.明确</w:t>
      </w:r>
      <w:r>
        <w:rPr>
          <w:rFonts w:eastAsia="仿宋_GB2312"/>
          <w:b/>
          <w:sz w:val="32"/>
          <w:szCs w:val="32"/>
        </w:rPr>
        <w:t>“永续债、优先股发行情况”</w:t>
      </w:r>
      <w:r>
        <w:rPr>
          <w:rFonts w:eastAsia="仿宋_GB2312"/>
          <w:sz w:val="32"/>
          <w:szCs w:val="32"/>
        </w:rPr>
        <w:t>各项指标填报口径：填报各级企业发行永续债、优先股的汇总数，无需与合并报表中“其他权益工具”做直接对应。</w:t>
      </w:r>
    </w:p>
    <w:p>
      <w:pPr>
        <w:spacing w:line="540" w:lineRule="exact"/>
        <w:ind w:firstLine="640" w:firstLineChars="200"/>
        <w:rPr>
          <w:rFonts w:eastAsia="楷体_GB2312"/>
          <w:sz w:val="32"/>
          <w:szCs w:val="32"/>
        </w:rPr>
      </w:pPr>
      <w:r>
        <w:rPr>
          <w:rFonts w:eastAsia="楷体_GB2312"/>
          <w:sz w:val="32"/>
          <w:szCs w:val="32"/>
        </w:rPr>
        <w:t>（六）企业股权结构表</w:t>
      </w:r>
    </w:p>
    <w:p>
      <w:pPr>
        <w:spacing w:line="540" w:lineRule="exact"/>
        <w:ind w:firstLine="640" w:firstLineChars="200"/>
        <w:rPr>
          <w:rFonts w:eastAsia="楷体_GB2312"/>
          <w:sz w:val="32"/>
          <w:szCs w:val="32"/>
        </w:rPr>
      </w:pPr>
      <w:r>
        <w:rPr>
          <w:rFonts w:eastAsia="仿宋_GB2312"/>
          <w:sz w:val="32"/>
          <w:szCs w:val="32"/>
        </w:rPr>
        <w:t>增加</w:t>
      </w:r>
      <w:r>
        <w:rPr>
          <w:rFonts w:eastAsia="仿宋_GB2312"/>
          <w:b/>
          <w:sz w:val="32"/>
          <w:szCs w:val="32"/>
        </w:rPr>
        <w:t>“其他国家资本股东”“其他国有法人资本股东”“其他集体资本股东”“其他民营资本股东”和“其他外商资本股东”</w:t>
      </w:r>
      <w:r>
        <w:rPr>
          <w:rFonts w:eastAsia="仿宋_GB2312"/>
          <w:sz w:val="32"/>
          <w:szCs w:val="32"/>
        </w:rPr>
        <w:t>五个项目，相应性质的股东出资合计与资产负债表中“实收资本（或股本）”下的各项资本对应勾稽。</w:t>
      </w:r>
    </w:p>
    <w:p>
      <w:pPr>
        <w:spacing w:line="540" w:lineRule="exact"/>
        <w:ind w:firstLine="640" w:firstLineChars="200"/>
        <w:rPr>
          <w:rFonts w:eastAsia="黑体"/>
          <w:bCs/>
          <w:sz w:val="32"/>
          <w:szCs w:val="32"/>
        </w:rPr>
      </w:pPr>
      <w:r>
        <w:rPr>
          <w:rFonts w:eastAsia="黑体"/>
          <w:bCs/>
          <w:sz w:val="32"/>
          <w:szCs w:val="32"/>
        </w:rPr>
        <w:t>二、决算报表常见问题说明</w:t>
      </w:r>
    </w:p>
    <w:p>
      <w:pPr>
        <w:spacing w:line="540" w:lineRule="exact"/>
        <w:ind w:firstLine="640" w:firstLineChars="200"/>
        <w:rPr>
          <w:rFonts w:eastAsia="楷体_GB2312"/>
          <w:sz w:val="32"/>
          <w:szCs w:val="32"/>
        </w:rPr>
      </w:pPr>
      <w:r>
        <w:rPr>
          <w:rFonts w:eastAsia="楷体_GB2312"/>
          <w:sz w:val="32"/>
          <w:szCs w:val="32"/>
        </w:rPr>
        <w:t>（一）封面代码</w:t>
      </w:r>
    </w:p>
    <w:p>
      <w:pPr>
        <w:spacing w:line="540" w:lineRule="exact"/>
        <w:ind w:firstLine="640" w:firstLineChars="200"/>
        <w:rPr>
          <w:rFonts w:eastAsia="仿宋_GB2312"/>
          <w:sz w:val="32"/>
          <w:szCs w:val="32"/>
        </w:rPr>
      </w:pPr>
      <w:r>
        <w:rPr>
          <w:rFonts w:eastAsia="仿宋_GB2312"/>
          <w:sz w:val="32"/>
          <w:szCs w:val="32"/>
        </w:rPr>
        <w:t>1.</w:t>
      </w:r>
      <w:r>
        <w:rPr>
          <w:rFonts w:eastAsia="仿宋_GB2312"/>
          <w:b/>
          <w:sz w:val="32"/>
          <w:szCs w:val="32"/>
        </w:rPr>
        <w:t>企业名称：</w:t>
      </w:r>
      <w:r>
        <w:rPr>
          <w:rFonts w:eastAsia="仿宋_GB2312"/>
          <w:sz w:val="32"/>
          <w:szCs w:val="32"/>
        </w:rPr>
        <w:t>填报在市场监管部门登记注册的企业全称。</w:t>
      </w:r>
    </w:p>
    <w:p>
      <w:pPr>
        <w:spacing w:line="540" w:lineRule="exact"/>
        <w:ind w:firstLine="640" w:firstLineChars="200"/>
        <w:rPr>
          <w:rFonts w:eastAsia="仿宋_GB2312"/>
          <w:sz w:val="32"/>
          <w:szCs w:val="32"/>
        </w:rPr>
      </w:pPr>
      <w:r>
        <w:rPr>
          <w:rFonts w:eastAsia="仿宋_GB2312"/>
          <w:sz w:val="32"/>
          <w:szCs w:val="32"/>
        </w:rPr>
        <w:t>2.</w:t>
      </w:r>
      <w:r>
        <w:rPr>
          <w:rFonts w:eastAsia="仿宋_GB2312"/>
          <w:b/>
          <w:sz w:val="32"/>
          <w:szCs w:val="32"/>
        </w:rPr>
        <w:t>企业代码：</w:t>
      </w:r>
      <w:r>
        <w:rPr>
          <w:rFonts w:eastAsia="仿宋_GB2312"/>
          <w:sz w:val="32"/>
          <w:szCs w:val="32"/>
        </w:rPr>
        <w:t>使用统一社会信用代码（18位）。</w:t>
      </w:r>
    </w:p>
    <w:p>
      <w:pPr>
        <w:spacing w:line="540" w:lineRule="exact"/>
        <w:ind w:firstLine="640" w:firstLineChars="200"/>
        <w:rPr>
          <w:rFonts w:eastAsia="仿宋_GB2312"/>
          <w:sz w:val="32"/>
          <w:szCs w:val="32"/>
        </w:rPr>
      </w:pPr>
      <w:r>
        <w:rPr>
          <w:rFonts w:eastAsia="仿宋_GB2312"/>
          <w:sz w:val="32"/>
          <w:szCs w:val="32"/>
        </w:rPr>
        <w:t>3.</w:t>
      </w:r>
      <w:r>
        <w:rPr>
          <w:rFonts w:eastAsia="仿宋_GB2312"/>
          <w:b/>
          <w:sz w:val="32"/>
          <w:szCs w:val="32"/>
        </w:rPr>
        <w:t>国民经济行业分类与代码：</w:t>
      </w:r>
      <w:r>
        <w:rPr>
          <w:rFonts w:eastAsia="仿宋_GB2312"/>
          <w:sz w:val="32"/>
          <w:szCs w:val="32"/>
        </w:rPr>
        <w:t>依据《国民经济行业分类》（GB/T4754－2017），结合企业主要从事的社会经济活动性质，按“小类”划分填列，填报的合理性，年度间的衔接，相对固定。</w:t>
      </w:r>
    </w:p>
    <w:p>
      <w:pPr>
        <w:spacing w:line="540" w:lineRule="exact"/>
        <w:ind w:firstLine="640" w:firstLineChars="200"/>
        <w:rPr>
          <w:rFonts w:eastAsia="楷体_GB2312"/>
          <w:sz w:val="32"/>
          <w:szCs w:val="32"/>
        </w:rPr>
      </w:pPr>
      <w:r>
        <w:rPr>
          <w:rFonts w:eastAsia="楷体_GB2312"/>
          <w:sz w:val="32"/>
          <w:szCs w:val="32"/>
        </w:rPr>
        <w:t>（二）资产负债表</w:t>
      </w:r>
    </w:p>
    <w:p>
      <w:pPr>
        <w:spacing w:line="540" w:lineRule="exact"/>
        <w:ind w:firstLine="640" w:firstLineChars="200"/>
        <w:rPr>
          <w:rFonts w:eastAsia="仿宋_GB2312"/>
          <w:sz w:val="32"/>
          <w:szCs w:val="32"/>
        </w:rPr>
      </w:pPr>
      <w:r>
        <w:rPr>
          <w:rFonts w:eastAsia="仿宋_GB2312"/>
          <w:sz w:val="32"/>
          <w:szCs w:val="32"/>
        </w:rPr>
        <w:t>1.</w:t>
      </w:r>
      <w:r>
        <w:rPr>
          <w:rFonts w:eastAsia="仿宋_GB2312"/>
          <w:b/>
          <w:sz w:val="32"/>
          <w:szCs w:val="32"/>
        </w:rPr>
        <w:t>其他应收款：</w:t>
      </w:r>
      <w:r>
        <w:rPr>
          <w:rFonts w:eastAsia="仿宋_GB2312"/>
          <w:sz w:val="32"/>
          <w:szCs w:val="32"/>
        </w:rPr>
        <w:t>根据“应收利息”“应收股利”和“其他应收款”科目的期末余额合计数，减去“坏账准备”科目中相关坏账准备期末余额后的金额填列。</w:t>
      </w:r>
    </w:p>
    <w:p>
      <w:pPr>
        <w:spacing w:line="540" w:lineRule="exact"/>
        <w:ind w:firstLine="640" w:firstLineChars="200"/>
        <w:rPr>
          <w:rFonts w:eastAsia="仿宋_GB2312"/>
          <w:sz w:val="32"/>
          <w:szCs w:val="32"/>
        </w:rPr>
      </w:pPr>
      <w:r>
        <w:rPr>
          <w:rFonts w:eastAsia="仿宋_GB2312"/>
          <w:sz w:val="32"/>
          <w:szCs w:val="32"/>
        </w:rPr>
        <w:t>2.</w:t>
      </w:r>
      <w:r>
        <w:rPr>
          <w:rFonts w:eastAsia="仿宋_GB2312"/>
          <w:b/>
          <w:sz w:val="32"/>
          <w:szCs w:val="32"/>
        </w:rPr>
        <w:t>固定资产：</w:t>
      </w:r>
      <w:r>
        <w:rPr>
          <w:rFonts w:eastAsia="仿宋_GB2312"/>
          <w:sz w:val="32"/>
          <w:szCs w:val="32"/>
        </w:rPr>
        <w:t>反映资产负债表日企业固定资产的期末账面价值和企业尚未清理完毕的固定资产清理净损益，应根据“固定资产”科目的期末余额，减去“累计折旧”和“固定资产减值准备”科目的期末余额后的金额，加上“固定资产清理”科目的期末余额填列。</w:t>
      </w:r>
    </w:p>
    <w:p>
      <w:pPr>
        <w:spacing w:line="540" w:lineRule="exact"/>
        <w:ind w:firstLine="640" w:firstLineChars="200"/>
        <w:rPr>
          <w:rFonts w:eastAsia="仿宋_GB2312"/>
          <w:sz w:val="32"/>
          <w:szCs w:val="32"/>
        </w:rPr>
      </w:pPr>
      <w:r>
        <w:rPr>
          <w:rFonts w:eastAsia="仿宋_GB2312"/>
          <w:sz w:val="32"/>
          <w:szCs w:val="32"/>
        </w:rPr>
        <w:t>3.</w:t>
      </w:r>
      <w:r>
        <w:rPr>
          <w:rFonts w:eastAsia="仿宋_GB2312"/>
          <w:b/>
          <w:sz w:val="32"/>
          <w:szCs w:val="32"/>
        </w:rPr>
        <w:t>其他应付款：</w:t>
      </w:r>
      <w:r>
        <w:rPr>
          <w:rFonts w:eastAsia="仿宋_GB2312"/>
          <w:sz w:val="32"/>
          <w:szCs w:val="32"/>
        </w:rPr>
        <w:t>根据“应付利息”“应付股利”和“其他应付款”科目的期末余额合计数填列。</w:t>
      </w:r>
    </w:p>
    <w:p>
      <w:pPr>
        <w:spacing w:line="540" w:lineRule="exact"/>
        <w:ind w:firstLine="598" w:firstLineChars="187"/>
        <w:rPr>
          <w:rFonts w:eastAsia="仿宋_GB2312"/>
          <w:bCs/>
          <w:sz w:val="32"/>
          <w:szCs w:val="32"/>
        </w:rPr>
      </w:pPr>
      <w:r>
        <w:rPr>
          <w:rFonts w:eastAsia="仿宋"/>
          <w:sz w:val="32"/>
          <w:szCs w:val="32"/>
        </w:rPr>
        <w:t>4.</w:t>
      </w:r>
      <w:r>
        <w:rPr>
          <w:rFonts w:eastAsia="仿宋_GB2312"/>
          <w:b/>
          <w:sz w:val="32"/>
          <w:szCs w:val="32"/>
        </w:rPr>
        <w:t>国家资本：</w:t>
      </w:r>
      <w:r>
        <w:rPr>
          <w:rFonts w:eastAsia="仿宋_GB2312"/>
          <w:bCs/>
          <w:sz w:val="32"/>
          <w:szCs w:val="32"/>
        </w:rPr>
        <w:t>各级政府及其部门以政府预算资金、土地使用权等形式直接投入到企业的资本金。各级政府履行出资人职责机构管理的一级企业，若为国有独资的其实收资本为国家资本，若为股权多元化企业，按政府直接投入资本确定为国家资本。</w:t>
      </w:r>
    </w:p>
    <w:p>
      <w:pPr>
        <w:spacing w:line="540" w:lineRule="exact"/>
        <w:ind w:firstLine="598" w:firstLineChars="187"/>
        <w:rPr>
          <w:rFonts w:eastAsia="仿宋_GB2312"/>
          <w:sz w:val="32"/>
          <w:szCs w:val="32"/>
        </w:rPr>
      </w:pPr>
      <w:r>
        <w:rPr>
          <w:rFonts w:eastAsia="仿宋_GB2312"/>
          <w:sz w:val="32"/>
          <w:szCs w:val="32"/>
        </w:rPr>
        <w:t>5.</w:t>
      </w:r>
      <w:r>
        <w:rPr>
          <w:rFonts w:eastAsia="仿宋_GB2312"/>
          <w:b/>
          <w:sz w:val="32"/>
          <w:szCs w:val="32"/>
        </w:rPr>
        <w:t>国有法人资本：</w:t>
      </w:r>
      <w:r>
        <w:rPr>
          <w:rFonts w:eastAsia="仿宋_GB2312"/>
          <w:sz w:val="32"/>
          <w:szCs w:val="32"/>
        </w:rPr>
        <w:t>具有独立法人地位的国有企业（单位）或国有独资公司对企业投资形成的资本金。</w:t>
      </w:r>
    </w:p>
    <w:p>
      <w:pPr>
        <w:spacing w:line="540" w:lineRule="exact"/>
        <w:ind w:firstLine="640" w:firstLineChars="200"/>
        <w:rPr>
          <w:rFonts w:eastAsia="楷体_GB2312"/>
          <w:sz w:val="32"/>
          <w:szCs w:val="32"/>
        </w:rPr>
      </w:pPr>
      <w:r>
        <w:rPr>
          <w:rFonts w:eastAsia="楷体_GB2312"/>
          <w:sz w:val="32"/>
          <w:szCs w:val="32"/>
        </w:rPr>
        <w:t>（三）利润表</w:t>
      </w:r>
    </w:p>
    <w:p>
      <w:pPr>
        <w:spacing w:line="540" w:lineRule="exact"/>
        <w:ind w:firstLine="640" w:firstLineChars="200"/>
        <w:rPr>
          <w:rFonts w:eastAsia="仿宋_GB2312"/>
          <w:sz w:val="32"/>
          <w:szCs w:val="32"/>
        </w:rPr>
      </w:pPr>
      <w:r>
        <w:rPr>
          <w:rFonts w:eastAsia="仿宋_GB2312"/>
          <w:sz w:val="32"/>
          <w:szCs w:val="32"/>
        </w:rPr>
        <w:t>1.</w:t>
      </w:r>
      <w:r>
        <w:rPr>
          <w:rFonts w:eastAsia="仿宋_GB2312"/>
          <w:b/>
          <w:sz w:val="32"/>
          <w:szCs w:val="32"/>
        </w:rPr>
        <w:t>研发费用：</w:t>
      </w:r>
      <w:r>
        <w:rPr>
          <w:rFonts w:eastAsia="仿宋_GB2312"/>
          <w:sz w:val="32"/>
          <w:szCs w:val="32"/>
        </w:rPr>
        <w:t>反映企业进行研究与开发过程中发生的费用化支出，以及计入管理费用的自行开发无形资产的摊销。该项目应根据“管理费用”科目下的“研究费用”明细科目的发生额，以及“管理费用”科目下的“无形资产摊销”明细科目的发生额分析填列。</w:t>
      </w:r>
    </w:p>
    <w:p>
      <w:pPr>
        <w:spacing w:line="540" w:lineRule="exact"/>
        <w:ind w:firstLine="640" w:firstLineChars="200"/>
        <w:rPr>
          <w:rFonts w:eastAsia="仿宋_GB2312"/>
          <w:sz w:val="32"/>
          <w:szCs w:val="32"/>
        </w:rPr>
      </w:pPr>
      <w:r>
        <w:rPr>
          <w:rFonts w:eastAsia="仿宋_GB2312"/>
          <w:sz w:val="32"/>
          <w:szCs w:val="32"/>
        </w:rPr>
        <w:t>2.</w:t>
      </w:r>
      <w:r>
        <w:rPr>
          <w:rFonts w:eastAsia="仿宋_GB2312"/>
          <w:b/>
          <w:sz w:val="32"/>
          <w:szCs w:val="32"/>
        </w:rPr>
        <w:t>其他收益：</w:t>
      </w:r>
      <w:r>
        <w:rPr>
          <w:rFonts w:eastAsia="仿宋_GB2312"/>
          <w:sz w:val="32"/>
          <w:szCs w:val="32"/>
        </w:rPr>
        <w:t>反映企业计入其他收益的政府补助（政府补助指企业从政府无偿取得货币性资产或非货币性资产，但不包括政府作为企业所有者投入的资本）、债务重组中因处置非金融资产产生的利得和损失、代扣个人所得税手续费返还等。</w:t>
      </w:r>
    </w:p>
    <w:p>
      <w:pPr>
        <w:spacing w:line="540" w:lineRule="exact"/>
        <w:ind w:firstLine="640" w:firstLineChars="200"/>
        <w:rPr>
          <w:rFonts w:eastAsia="仿宋_GB2312"/>
          <w:sz w:val="32"/>
          <w:szCs w:val="32"/>
        </w:rPr>
      </w:pPr>
      <w:r>
        <w:rPr>
          <w:rFonts w:eastAsia="仿宋_GB2312"/>
          <w:sz w:val="32"/>
          <w:szCs w:val="32"/>
        </w:rPr>
        <w:t>3.</w:t>
      </w:r>
      <w:r>
        <w:rPr>
          <w:rFonts w:eastAsia="仿宋_GB2312"/>
          <w:b/>
          <w:sz w:val="32"/>
          <w:szCs w:val="32"/>
        </w:rPr>
        <w:t>营业外收入</w:t>
      </w:r>
      <w:r>
        <w:rPr>
          <w:rFonts w:hint="eastAsia" w:eastAsia="仿宋_GB2312"/>
          <w:b/>
          <w:sz w:val="32"/>
          <w:szCs w:val="32"/>
        </w:rPr>
        <w:t>：</w:t>
      </w:r>
      <w:r>
        <w:rPr>
          <w:rFonts w:eastAsia="仿宋_GB2312"/>
          <w:sz w:val="32"/>
          <w:szCs w:val="32"/>
        </w:rPr>
        <w:t>反映企业发生的除营业利润以外的收益，主要包括与企业日常活动无关的政府补助、盘盈利得、捐赠利得（企业接受股东或股东的子公司直接或间接的捐赠，经济实质属于股东对企业的资本性投入的除外）等。</w:t>
      </w:r>
    </w:p>
    <w:p>
      <w:pPr>
        <w:spacing w:line="540" w:lineRule="exact"/>
        <w:ind w:firstLine="640" w:firstLineChars="200"/>
        <w:rPr>
          <w:rFonts w:eastAsia="楷体_GB2312"/>
          <w:sz w:val="32"/>
          <w:szCs w:val="32"/>
        </w:rPr>
      </w:pPr>
      <w:r>
        <w:rPr>
          <w:rFonts w:eastAsia="楷体_GB2312"/>
          <w:sz w:val="32"/>
          <w:szCs w:val="32"/>
        </w:rPr>
        <w:t>（四）所有者权益变动表</w:t>
      </w:r>
    </w:p>
    <w:p>
      <w:pPr>
        <w:spacing w:line="540" w:lineRule="exact"/>
        <w:ind w:firstLine="640" w:firstLineChars="200"/>
        <w:rPr>
          <w:rFonts w:eastAsia="仿宋_GB2312"/>
          <w:sz w:val="32"/>
          <w:szCs w:val="32"/>
        </w:rPr>
      </w:pPr>
      <w:r>
        <w:rPr>
          <w:rFonts w:eastAsia="仿宋_GB2312"/>
          <w:sz w:val="32"/>
          <w:szCs w:val="32"/>
        </w:rPr>
        <w:t>1.</w:t>
      </w:r>
      <w:r>
        <w:rPr>
          <w:rFonts w:eastAsia="仿宋_GB2312"/>
          <w:b/>
          <w:sz w:val="32"/>
          <w:szCs w:val="32"/>
        </w:rPr>
        <w:t>其他：</w:t>
      </w:r>
      <w:r>
        <w:rPr>
          <w:rFonts w:eastAsia="仿宋_GB2312"/>
          <w:sz w:val="32"/>
          <w:szCs w:val="32"/>
        </w:rPr>
        <w:t>反映企业本年和上年同一控制下企业合并、清产核资、执行新准则（新租赁准则、新金融工具准则与新收入准则）等影响的金额。</w:t>
      </w:r>
    </w:p>
    <w:p>
      <w:pPr>
        <w:spacing w:line="540" w:lineRule="exact"/>
        <w:ind w:firstLine="640" w:firstLineChars="200"/>
        <w:rPr>
          <w:rFonts w:eastAsia="仿宋_GB2312"/>
          <w:sz w:val="32"/>
          <w:szCs w:val="32"/>
        </w:rPr>
      </w:pPr>
      <w:r>
        <w:rPr>
          <w:rFonts w:eastAsia="仿宋_GB2312"/>
          <w:sz w:val="32"/>
          <w:szCs w:val="32"/>
        </w:rPr>
        <w:t>2.</w:t>
      </w:r>
      <w:r>
        <w:rPr>
          <w:rFonts w:eastAsia="仿宋_GB2312"/>
          <w:b/>
          <w:sz w:val="32"/>
          <w:szCs w:val="32"/>
        </w:rPr>
        <w:t>所有者投入普通股：</w:t>
      </w:r>
      <w:r>
        <w:rPr>
          <w:rFonts w:eastAsia="仿宋_GB2312"/>
          <w:sz w:val="32"/>
          <w:szCs w:val="32"/>
        </w:rPr>
        <w:t>反映企业接受普通股投资者投入形成的实收资本（或股本）和资本公积，应根据“实收资本”“资本公积”等科目发生额分析填列。</w:t>
      </w:r>
    </w:p>
    <w:p>
      <w:pPr>
        <w:spacing w:line="540" w:lineRule="exact"/>
        <w:ind w:firstLine="640" w:firstLineChars="200"/>
        <w:rPr>
          <w:rFonts w:eastAsia="楷体_GB2312"/>
          <w:sz w:val="32"/>
          <w:szCs w:val="32"/>
        </w:rPr>
      </w:pPr>
      <w:r>
        <w:rPr>
          <w:rFonts w:eastAsia="楷体_GB2312"/>
          <w:sz w:val="32"/>
          <w:szCs w:val="32"/>
        </w:rPr>
        <w:t>（五）国有资本权益变动情况表</w:t>
      </w:r>
    </w:p>
    <w:p>
      <w:pPr>
        <w:spacing w:line="540" w:lineRule="exact"/>
        <w:ind w:firstLine="640" w:firstLineChars="200"/>
        <w:rPr>
          <w:rFonts w:eastAsia="仿宋_GB2312"/>
          <w:sz w:val="32"/>
          <w:szCs w:val="32"/>
        </w:rPr>
      </w:pPr>
      <w:r>
        <w:rPr>
          <w:rFonts w:eastAsia="仿宋_GB2312"/>
          <w:sz w:val="32"/>
          <w:szCs w:val="32"/>
        </w:rPr>
        <w:t>1.</w:t>
      </w:r>
      <w:r>
        <w:rPr>
          <w:rFonts w:eastAsia="仿宋_GB2312"/>
          <w:b/>
          <w:sz w:val="32"/>
          <w:szCs w:val="32"/>
        </w:rPr>
        <w:t>年末其他国有资金：</w:t>
      </w:r>
      <w:r>
        <w:rPr>
          <w:rFonts w:eastAsia="仿宋_GB2312"/>
          <w:sz w:val="32"/>
          <w:szCs w:val="32"/>
        </w:rPr>
        <w:t>反映年末不列入企业所有者权益，但由企业管理、使用的具有权益性质的国家所有的资金，如保险保障基金、特准储备基金、股份制改造剥离权益、国家专用拨款等。</w:t>
      </w:r>
    </w:p>
    <w:p>
      <w:pPr>
        <w:spacing w:line="540" w:lineRule="exact"/>
        <w:ind w:firstLine="640" w:firstLineChars="200"/>
        <w:rPr>
          <w:rFonts w:eastAsia="仿宋_GB2312"/>
          <w:sz w:val="32"/>
          <w:szCs w:val="32"/>
        </w:rPr>
      </w:pPr>
      <w:r>
        <w:rPr>
          <w:rFonts w:eastAsia="仿宋_GB2312"/>
          <w:sz w:val="32"/>
          <w:szCs w:val="32"/>
        </w:rPr>
        <w:t>2.因</w:t>
      </w:r>
      <w:r>
        <w:rPr>
          <w:rFonts w:eastAsia="仿宋_GB2312"/>
          <w:b/>
          <w:sz w:val="32"/>
          <w:szCs w:val="32"/>
        </w:rPr>
        <w:t>特殊情况出现经营积累和经营减值调整</w:t>
      </w:r>
      <w:r>
        <w:rPr>
          <w:rFonts w:eastAsia="仿宋_GB2312"/>
          <w:sz w:val="32"/>
          <w:szCs w:val="32"/>
        </w:rPr>
        <w:t>应合规、审慎。</w:t>
      </w:r>
    </w:p>
    <w:p>
      <w:pPr>
        <w:spacing w:line="540" w:lineRule="exact"/>
        <w:ind w:firstLine="640" w:firstLineChars="200"/>
        <w:rPr>
          <w:rFonts w:eastAsia="仿宋"/>
          <w:sz w:val="32"/>
          <w:szCs w:val="32"/>
        </w:rPr>
      </w:pPr>
      <w:r>
        <w:rPr>
          <w:rFonts w:eastAsia="仿宋_GB2312"/>
          <w:sz w:val="32"/>
          <w:szCs w:val="32"/>
        </w:rPr>
        <w:t>3.年末国有资本权益总额较年初国有资本权益总额变动幅度若</w:t>
      </w:r>
      <w:r>
        <w:rPr>
          <w:rFonts w:eastAsia="仿宋_GB2312"/>
          <w:b/>
          <w:sz w:val="32"/>
          <w:szCs w:val="32"/>
        </w:rPr>
        <w:t>超过10%</w:t>
      </w:r>
      <w:r>
        <w:rPr>
          <w:rFonts w:eastAsia="仿宋_GB2312"/>
          <w:sz w:val="32"/>
          <w:szCs w:val="32"/>
        </w:rPr>
        <w:t>，应予以重点关注和重新审查。</w:t>
      </w:r>
    </w:p>
    <w:p>
      <w:pPr>
        <w:spacing w:line="540" w:lineRule="exact"/>
        <w:ind w:firstLine="640" w:firstLineChars="200"/>
        <w:rPr>
          <w:rFonts w:eastAsia="楷体_GB2312"/>
          <w:sz w:val="32"/>
          <w:szCs w:val="32"/>
        </w:rPr>
      </w:pPr>
      <w:r>
        <w:rPr>
          <w:rFonts w:eastAsia="楷体_GB2312"/>
          <w:sz w:val="32"/>
          <w:szCs w:val="32"/>
        </w:rPr>
        <w:t>（六）资产减值准备情况表</w:t>
      </w:r>
    </w:p>
    <w:p>
      <w:pPr>
        <w:spacing w:line="540" w:lineRule="exact"/>
        <w:ind w:firstLine="640" w:firstLineChars="200"/>
        <w:rPr>
          <w:rFonts w:eastAsia="仿宋_GB2312"/>
          <w:sz w:val="32"/>
          <w:szCs w:val="32"/>
        </w:rPr>
      </w:pPr>
      <w:r>
        <w:rPr>
          <w:rFonts w:eastAsia="仿宋_GB2312"/>
          <w:sz w:val="32"/>
          <w:szCs w:val="32"/>
        </w:rPr>
        <w:t>本表反映企业各项资产减值准备的年初账面余额、本期增减变动和期末账面余额，以及政策性挂账和当年处理以前年度损失和挂账等情况。其中，已执行新金融工具准则、新收入准则、新租赁准则以及发生其他期初数调整事项的企业，“年初账面余额”按照调整后金额进行填列。</w:t>
      </w:r>
    </w:p>
    <w:p>
      <w:pPr>
        <w:spacing w:line="540" w:lineRule="exact"/>
        <w:ind w:firstLine="640" w:firstLineChars="200"/>
        <w:rPr>
          <w:rFonts w:eastAsia="楷体_GB2312"/>
          <w:sz w:val="32"/>
          <w:szCs w:val="32"/>
        </w:rPr>
      </w:pPr>
      <w:r>
        <w:rPr>
          <w:rFonts w:eastAsia="楷体_GB2312"/>
          <w:sz w:val="32"/>
          <w:szCs w:val="32"/>
        </w:rPr>
        <w:t>（七）应上交应弥补款项表</w:t>
      </w:r>
    </w:p>
    <w:p>
      <w:pPr>
        <w:spacing w:line="540" w:lineRule="exact"/>
        <w:ind w:firstLine="640" w:firstLineChars="200"/>
        <w:rPr>
          <w:rFonts w:eastAsia="仿宋_GB2312"/>
          <w:sz w:val="32"/>
          <w:szCs w:val="32"/>
        </w:rPr>
      </w:pPr>
      <w:r>
        <w:rPr>
          <w:rFonts w:eastAsia="仿宋_GB2312"/>
          <w:sz w:val="32"/>
          <w:szCs w:val="32"/>
        </w:rPr>
        <w:t>本表反映企业各项税金、保险等款项的负担及上交情况。本表一至五项以及补充资料一至三项反映企业本年度在中国境内地区承担或缴纳的税费金额，不包括企业代扣代缴的应由个人承担部分；补充资料第四项反映企业本年度实际向境外地区（含港澳台地区）缴纳的税费金额。</w:t>
      </w:r>
    </w:p>
    <w:p>
      <w:pPr>
        <w:spacing w:line="540" w:lineRule="exact"/>
        <w:ind w:firstLine="640" w:firstLineChars="200"/>
        <w:rPr>
          <w:rFonts w:eastAsia="楷体_GB2312"/>
          <w:sz w:val="32"/>
          <w:szCs w:val="32"/>
        </w:rPr>
      </w:pPr>
      <w:r>
        <w:rPr>
          <w:rFonts w:eastAsia="楷体_GB2312"/>
          <w:sz w:val="32"/>
          <w:szCs w:val="32"/>
        </w:rPr>
        <w:t>（八）基本情况表</w:t>
      </w:r>
    </w:p>
    <w:p>
      <w:pPr>
        <w:spacing w:line="540" w:lineRule="exact"/>
        <w:ind w:firstLine="640" w:firstLineChars="200"/>
        <w:rPr>
          <w:rFonts w:eastAsia="仿宋_GB2312"/>
          <w:sz w:val="32"/>
          <w:szCs w:val="32"/>
        </w:rPr>
      </w:pPr>
      <w:r>
        <w:rPr>
          <w:rFonts w:eastAsia="仿宋_GB2312"/>
          <w:sz w:val="32"/>
          <w:szCs w:val="32"/>
        </w:rPr>
        <w:t>1.</w:t>
      </w:r>
      <w:r>
        <w:rPr>
          <w:rFonts w:eastAsia="仿宋_GB2312"/>
          <w:b/>
          <w:sz w:val="32"/>
          <w:szCs w:val="32"/>
        </w:rPr>
        <w:t>本年收到的财政性资金：</w:t>
      </w:r>
      <w:r>
        <w:rPr>
          <w:rFonts w:eastAsia="仿宋_GB2312"/>
          <w:sz w:val="32"/>
          <w:szCs w:val="32"/>
        </w:rPr>
        <w:t>反映企业本年收到的各项财政性资金，按性质划分，主要包括基本建设性资金、生产发展性资金、社会保障性资金和其他资金。企业收到的财政部门以外的其他部门、机构转拨的财政性质资金也应当在本项目中反映。</w:t>
      </w:r>
    </w:p>
    <w:p>
      <w:pPr>
        <w:spacing w:line="540" w:lineRule="exact"/>
        <w:ind w:firstLine="640" w:firstLineChars="200"/>
        <w:rPr>
          <w:rFonts w:eastAsia="仿宋_GB2312"/>
          <w:b/>
          <w:sz w:val="32"/>
          <w:szCs w:val="32"/>
        </w:rPr>
      </w:pPr>
      <w:r>
        <w:rPr>
          <w:rFonts w:eastAsia="仿宋_GB2312"/>
          <w:sz w:val="32"/>
          <w:szCs w:val="32"/>
        </w:rPr>
        <w:t>2.</w:t>
      </w:r>
      <w:r>
        <w:rPr>
          <w:rFonts w:eastAsia="仿宋_GB2312"/>
          <w:b/>
          <w:sz w:val="32"/>
          <w:szCs w:val="32"/>
        </w:rPr>
        <w:t>劳动生产总值：</w:t>
      </w:r>
      <w:r>
        <w:rPr>
          <w:rFonts w:eastAsia="仿宋_GB2312"/>
          <w:sz w:val="32"/>
          <w:szCs w:val="32"/>
        </w:rPr>
        <w:t>指各种生产活动所创造的新增价值，是企业总产出与中间投入之差。增加值为劳动者报酬、固定资产折旧、生产税净额和营业盈余四个部分之和。</w:t>
      </w:r>
      <w:r>
        <w:rPr>
          <w:rFonts w:eastAsia="仿宋_GB2312"/>
          <w:b/>
          <w:sz w:val="32"/>
          <w:szCs w:val="32"/>
        </w:rPr>
        <w:t>今年的公式有变化，不再剔除投资收益，上年数同口径调整。</w:t>
      </w:r>
    </w:p>
    <w:p>
      <w:pPr>
        <w:spacing w:line="540" w:lineRule="exact"/>
        <w:ind w:firstLine="640" w:firstLineChars="200"/>
        <w:rPr>
          <w:rFonts w:eastAsia="仿宋_GB2312"/>
          <w:sz w:val="32"/>
          <w:szCs w:val="32"/>
        </w:rPr>
      </w:pPr>
      <w:r>
        <w:rPr>
          <w:rFonts w:eastAsia="仿宋_GB2312"/>
          <w:sz w:val="32"/>
          <w:szCs w:val="32"/>
        </w:rPr>
        <w:t>3.若通过数据计算得出</w:t>
      </w:r>
      <w:r>
        <w:rPr>
          <w:rFonts w:eastAsia="仿宋_GB2312"/>
          <w:b/>
          <w:sz w:val="32"/>
          <w:szCs w:val="32"/>
        </w:rPr>
        <w:t>“社会贡献总额”为负数</w:t>
      </w:r>
      <w:r>
        <w:rPr>
          <w:rFonts w:eastAsia="仿宋_GB2312"/>
          <w:sz w:val="32"/>
          <w:szCs w:val="32"/>
        </w:rPr>
        <w:t>，则“社会贡献总额”填列</w:t>
      </w:r>
      <w:r>
        <w:rPr>
          <w:rFonts w:eastAsia="仿宋_GB2312"/>
          <w:b/>
          <w:sz w:val="32"/>
          <w:szCs w:val="32"/>
        </w:rPr>
        <w:t>“0”</w:t>
      </w:r>
      <w:r>
        <w:rPr>
          <w:rFonts w:eastAsia="仿宋_GB2312"/>
          <w:sz w:val="32"/>
          <w:szCs w:val="32"/>
        </w:rPr>
        <w:t>。</w:t>
      </w:r>
    </w:p>
    <w:p>
      <w:pPr>
        <w:spacing w:line="540" w:lineRule="exact"/>
        <w:ind w:firstLine="640" w:firstLineChars="200"/>
        <w:rPr>
          <w:rFonts w:eastAsia="楷体_GB2312"/>
          <w:sz w:val="32"/>
          <w:szCs w:val="32"/>
        </w:rPr>
      </w:pPr>
      <w:r>
        <w:rPr>
          <w:rFonts w:hint="eastAsia" w:eastAsia="楷体_GB2312"/>
          <w:sz w:val="32"/>
          <w:szCs w:val="32"/>
        </w:rPr>
        <w:t>（</w:t>
      </w:r>
      <w:r>
        <w:rPr>
          <w:rFonts w:eastAsia="楷体_GB2312"/>
          <w:sz w:val="32"/>
          <w:szCs w:val="32"/>
        </w:rPr>
        <w:t>九）人力资源情况表</w:t>
      </w:r>
    </w:p>
    <w:p>
      <w:pPr>
        <w:spacing w:line="540" w:lineRule="exact"/>
        <w:ind w:firstLine="640" w:firstLineChars="200"/>
        <w:rPr>
          <w:rFonts w:eastAsia="仿宋_GB2312"/>
          <w:sz w:val="32"/>
          <w:szCs w:val="32"/>
        </w:rPr>
      </w:pPr>
      <w:r>
        <w:rPr>
          <w:rFonts w:eastAsia="仿宋_GB2312"/>
          <w:sz w:val="32"/>
          <w:szCs w:val="32"/>
        </w:rPr>
        <w:t>1.注意</w:t>
      </w:r>
      <w:r>
        <w:rPr>
          <w:rFonts w:eastAsia="仿宋_GB2312"/>
          <w:b/>
          <w:sz w:val="32"/>
          <w:szCs w:val="32"/>
        </w:rPr>
        <w:t>企</w:t>
      </w:r>
      <w:bookmarkStart w:id="0" w:name="_GoBack"/>
      <w:bookmarkEnd w:id="0"/>
      <w:r>
        <w:rPr>
          <w:rFonts w:eastAsia="仿宋_GB2312"/>
          <w:b/>
          <w:sz w:val="32"/>
          <w:szCs w:val="32"/>
        </w:rPr>
        <w:t>业人数</w:t>
      </w:r>
      <w:r>
        <w:rPr>
          <w:rFonts w:eastAsia="仿宋_GB2312"/>
          <w:sz w:val="32"/>
          <w:szCs w:val="32"/>
        </w:rPr>
        <w:t>情况，如果存在兼职情况，人数只填在1家签署劳动合同的单位，其他兼职单位不要填人数，避免重复导致汇总数出错。</w:t>
      </w:r>
    </w:p>
    <w:p>
      <w:pPr>
        <w:spacing w:line="540" w:lineRule="exact"/>
        <w:ind w:firstLine="640" w:firstLineChars="200"/>
        <w:rPr>
          <w:rFonts w:eastAsia="仿宋_GB2312"/>
          <w:sz w:val="32"/>
          <w:szCs w:val="32"/>
        </w:rPr>
      </w:pPr>
      <w:r>
        <w:rPr>
          <w:rFonts w:eastAsia="仿宋_GB2312"/>
          <w:sz w:val="32"/>
          <w:szCs w:val="32"/>
        </w:rPr>
        <w:t>例如：单户表里人数合计为10人，汇总表里人数合计也应为10人，差额表人数应为0，如果差</w:t>
      </w:r>
      <w:r>
        <w:rPr>
          <w:rFonts w:hint="eastAsia" w:eastAsia="仿宋_GB2312"/>
          <w:sz w:val="32"/>
          <w:szCs w:val="32"/>
        </w:rPr>
        <w:t>额</w:t>
      </w:r>
      <w:r>
        <w:rPr>
          <w:rFonts w:eastAsia="仿宋_GB2312"/>
          <w:sz w:val="32"/>
          <w:szCs w:val="32"/>
        </w:rPr>
        <w:t>表有数字，</w:t>
      </w:r>
      <w:r>
        <w:rPr>
          <w:rFonts w:hint="eastAsia" w:eastAsia="仿宋_GB2312"/>
          <w:sz w:val="32"/>
          <w:szCs w:val="32"/>
        </w:rPr>
        <w:t>需</w:t>
      </w:r>
      <w:r>
        <w:rPr>
          <w:rFonts w:eastAsia="仿宋_GB2312"/>
          <w:sz w:val="32"/>
          <w:szCs w:val="32"/>
        </w:rPr>
        <w:t>修改。</w:t>
      </w:r>
    </w:p>
    <w:p>
      <w:pPr>
        <w:spacing w:line="540" w:lineRule="exact"/>
        <w:ind w:firstLine="640" w:firstLineChars="200"/>
        <w:rPr>
          <w:rFonts w:eastAsia="仿宋_GB2312"/>
          <w:sz w:val="32"/>
          <w:szCs w:val="32"/>
        </w:rPr>
      </w:pPr>
      <w:r>
        <w:rPr>
          <w:rFonts w:eastAsia="仿宋_GB2312"/>
          <w:sz w:val="32"/>
          <w:szCs w:val="32"/>
        </w:rPr>
        <w:t>2.</w:t>
      </w:r>
      <w:r>
        <w:rPr>
          <w:rFonts w:hint="eastAsia" w:eastAsia="仿宋_GB2312"/>
          <w:b/>
          <w:sz w:val="32"/>
          <w:szCs w:val="32"/>
        </w:rPr>
        <w:t>未实行社会化管理的离退休人员人数</w:t>
      </w:r>
      <w:r>
        <w:rPr>
          <w:rFonts w:hint="eastAsia" w:eastAsia="仿宋_GB2312"/>
          <w:sz w:val="32"/>
          <w:szCs w:val="32"/>
        </w:rPr>
        <w:t>：根据中共中央办公厅、国务院办公厅转发的《关于积极推进企业退休人员社会化管理服务工作的意见》，企业退休人员社会化管理服务是指职工办理退休手续后，采取管理服务工作与原企业分离，养老金实行社会化发放，人员移交城市街道和社区实行属地管理，由社区服务组织提供相应管理服务。不符合上述要求的离退休人员应纳入此项统计。</w:t>
      </w:r>
    </w:p>
    <w:p>
      <w:pPr>
        <w:spacing w:line="540" w:lineRule="exact"/>
        <w:ind w:firstLine="640" w:firstLineChars="200"/>
        <w:rPr>
          <w:rFonts w:eastAsia="仿宋_GB2312"/>
          <w:sz w:val="32"/>
          <w:szCs w:val="32"/>
        </w:rPr>
      </w:pPr>
      <w:r>
        <w:rPr>
          <w:rFonts w:hint="eastAsia" w:eastAsia="仿宋_GB2312"/>
          <w:sz w:val="32"/>
          <w:szCs w:val="32"/>
        </w:rPr>
        <w:t>3</w:t>
      </w:r>
      <w:r>
        <w:rPr>
          <w:rFonts w:eastAsia="仿宋_GB2312"/>
          <w:sz w:val="32"/>
          <w:szCs w:val="32"/>
        </w:rPr>
        <w:t>.</w:t>
      </w:r>
      <w:r>
        <w:rPr>
          <w:rFonts w:hint="eastAsia" w:eastAsia="仿宋_GB2312"/>
          <w:b/>
          <w:sz w:val="32"/>
          <w:szCs w:val="32"/>
        </w:rPr>
        <w:t>年末党员人数：</w:t>
      </w:r>
      <w:r>
        <w:rPr>
          <w:rFonts w:hint="eastAsia" w:eastAsia="仿宋_GB2312"/>
          <w:sz w:val="32"/>
          <w:szCs w:val="32"/>
        </w:rPr>
        <w:t>反映企业年末已加入中国共产党的职工人数。其中，离退休干部职工党员组织关系转到居住地社区党组织的，不反映在年末党员人数中；将党员组织关系保留在原单位的离退休干部职工，反映在年末党员人数中。</w:t>
      </w:r>
    </w:p>
    <w:p>
      <w:pPr>
        <w:spacing w:line="540" w:lineRule="exact"/>
        <w:ind w:firstLine="640" w:firstLineChars="200"/>
        <w:rPr>
          <w:rFonts w:eastAsia="仿宋_GB2312"/>
          <w:sz w:val="32"/>
          <w:szCs w:val="32"/>
        </w:rPr>
      </w:pPr>
      <w:r>
        <w:rPr>
          <w:rFonts w:eastAsia="仿宋_GB2312"/>
          <w:sz w:val="32"/>
          <w:szCs w:val="32"/>
        </w:rPr>
        <w:t>4.</w:t>
      </w:r>
      <w:r>
        <w:rPr>
          <w:rFonts w:hint="eastAsia" w:eastAsia="仿宋_GB2312"/>
          <w:sz w:val="32"/>
          <w:szCs w:val="32"/>
        </w:rPr>
        <w:t>人数与</w:t>
      </w:r>
      <w:r>
        <w:rPr>
          <w:rFonts w:eastAsia="仿宋_GB2312"/>
          <w:sz w:val="32"/>
          <w:szCs w:val="32"/>
        </w:rPr>
        <w:t>工资保险配比，人跟薪酬配比，党员按照党组织关系进行填报。</w:t>
      </w:r>
    </w:p>
    <w:p>
      <w:pPr>
        <w:spacing w:line="540" w:lineRule="exact"/>
        <w:ind w:firstLine="640" w:firstLineChars="200"/>
        <w:rPr>
          <w:rFonts w:eastAsia="楷体_GB2312"/>
          <w:sz w:val="32"/>
          <w:szCs w:val="32"/>
        </w:rPr>
      </w:pPr>
      <w:r>
        <w:rPr>
          <w:rFonts w:hint="eastAsia" w:eastAsia="楷体_GB2312"/>
          <w:sz w:val="32"/>
          <w:szCs w:val="32"/>
        </w:rPr>
        <w:t>（</w:t>
      </w:r>
      <w:r>
        <w:rPr>
          <w:rFonts w:eastAsia="楷体_GB2312"/>
          <w:sz w:val="32"/>
          <w:szCs w:val="32"/>
        </w:rPr>
        <w:t>十</w:t>
      </w:r>
      <w:r>
        <w:rPr>
          <w:rFonts w:hint="eastAsia" w:eastAsia="楷体_GB2312"/>
          <w:sz w:val="32"/>
          <w:szCs w:val="32"/>
        </w:rPr>
        <w:t>）</w:t>
      </w:r>
      <w:r>
        <w:rPr>
          <w:rFonts w:eastAsia="楷体_GB2312"/>
          <w:sz w:val="32"/>
          <w:szCs w:val="32"/>
        </w:rPr>
        <w:t>带息负债情况表</w:t>
      </w:r>
    </w:p>
    <w:p>
      <w:pPr>
        <w:spacing w:line="540" w:lineRule="exact"/>
        <w:ind w:firstLine="640" w:firstLineChars="200"/>
        <w:rPr>
          <w:rFonts w:eastAsia="仿宋_GB2312"/>
          <w:sz w:val="32"/>
          <w:szCs w:val="32"/>
        </w:rPr>
      </w:pPr>
      <w:r>
        <w:rPr>
          <w:rFonts w:hint="cs" w:eastAsia="仿宋_GB2312"/>
          <w:sz w:val="32"/>
          <w:szCs w:val="32"/>
        </w:rPr>
        <w:t>1</w:t>
      </w:r>
      <w:r>
        <w:rPr>
          <w:rFonts w:eastAsia="仿宋_GB2312"/>
          <w:sz w:val="32"/>
          <w:szCs w:val="32"/>
        </w:rPr>
        <w:t>.</w:t>
      </w:r>
      <w:r>
        <w:rPr>
          <w:rFonts w:hint="eastAsia" w:eastAsia="仿宋_GB2312"/>
          <w:b/>
          <w:sz w:val="32"/>
          <w:szCs w:val="32"/>
        </w:rPr>
        <w:t>已发行永续债、优先股：</w:t>
      </w:r>
      <w:r>
        <w:rPr>
          <w:rFonts w:hint="eastAsia" w:eastAsia="仿宋_GB2312"/>
          <w:sz w:val="32"/>
          <w:szCs w:val="32"/>
        </w:rPr>
        <w:t>反映企业期末发行在外永续债、优先股本金（股本总额），归类为金融负债的永续债、优先股需单独列示。</w:t>
      </w:r>
    </w:p>
    <w:p>
      <w:pPr>
        <w:spacing w:line="540" w:lineRule="exact"/>
        <w:ind w:firstLine="640" w:firstLineChars="200"/>
        <w:rPr>
          <w:rFonts w:eastAsia="仿宋_GB2312"/>
          <w:sz w:val="32"/>
          <w:szCs w:val="32"/>
        </w:rPr>
      </w:pPr>
      <w:r>
        <w:rPr>
          <w:rFonts w:eastAsia="仿宋_GB2312"/>
          <w:sz w:val="32"/>
          <w:szCs w:val="32"/>
        </w:rPr>
        <w:t>2</w:t>
      </w:r>
      <w:r>
        <w:rPr>
          <w:rFonts w:hint="eastAsia" w:eastAsia="仿宋_GB2312"/>
          <w:sz w:val="32"/>
          <w:szCs w:val="32"/>
        </w:rPr>
        <w:t>.</w:t>
      </w:r>
      <w:r>
        <w:rPr>
          <w:rFonts w:hint="eastAsia" w:eastAsia="仿宋_GB2312"/>
          <w:b/>
          <w:sz w:val="32"/>
          <w:szCs w:val="32"/>
        </w:rPr>
        <w:t>境外发行外币债券总额：</w:t>
      </w:r>
      <w:r>
        <w:rPr>
          <w:rFonts w:hint="eastAsia" w:eastAsia="仿宋_GB2312"/>
          <w:sz w:val="32"/>
          <w:szCs w:val="32"/>
        </w:rPr>
        <w:t>反映企业集团所属境内外子企业本年度累计发行外币债券的本金总额，以人民币填列。各项明细按各项债券的实际币种填列。</w:t>
      </w:r>
    </w:p>
    <w:p>
      <w:pPr>
        <w:spacing w:line="540" w:lineRule="exact"/>
        <w:ind w:firstLine="640" w:firstLineChars="200"/>
        <w:rPr>
          <w:rFonts w:eastAsia="楷体_GB2312"/>
          <w:sz w:val="32"/>
          <w:szCs w:val="32"/>
        </w:rPr>
      </w:pPr>
      <w:r>
        <w:rPr>
          <w:rFonts w:eastAsia="楷体_GB2312"/>
          <w:sz w:val="32"/>
          <w:szCs w:val="32"/>
        </w:rPr>
        <w:t>（</w:t>
      </w:r>
      <w:r>
        <w:rPr>
          <w:rFonts w:hint="eastAsia" w:eastAsia="楷体_GB2312"/>
          <w:sz w:val="32"/>
          <w:szCs w:val="32"/>
        </w:rPr>
        <w:t>十一</w:t>
      </w:r>
      <w:r>
        <w:rPr>
          <w:rFonts w:eastAsia="楷体_GB2312"/>
          <w:sz w:val="32"/>
          <w:szCs w:val="32"/>
        </w:rPr>
        <w:t>）企业集团基本情况表</w:t>
      </w:r>
    </w:p>
    <w:p>
      <w:pPr>
        <w:spacing w:line="540" w:lineRule="exact"/>
        <w:ind w:firstLine="640" w:firstLineChars="200"/>
        <w:rPr>
          <w:rFonts w:eastAsia="仿宋_GB2312"/>
          <w:sz w:val="32"/>
          <w:szCs w:val="32"/>
        </w:rPr>
      </w:pPr>
      <w:r>
        <w:rPr>
          <w:rFonts w:eastAsia="仿宋_GB2312"/>
          <w:sz w:val="32"/>
          <w:szCs w:val="32"/>
        </w:rPr>
        <w:t>1.本表仅由</w:t>
      </w:r>
      <w:r>
        <w:rPr>
          <w:rFonts w:eastAsia="仿宋_GB2312"/>
          <w:b/>
          <w:sz w:val="32"/>
          <w:szCs w:val="32"/>
        </w:rPr>
        <w:t>一级企业（单位）汇总</w:t>
      </w:r>
      <w:r>
        <w:rPr>
          <w:rFonts w:eastAsia="仿宋_GB2312"/>
          <w:sz w:val="32"/>
          <w:szCs w:val="32"/>
        </w:rPr>
        <w:t>填报。易出现填写企业户数与上报企业数据单户数不一致的情况。</w:t>
      </w:r>
    </w:p>
    <w:p>
      <w:pPr>
        <w:spacing w:line="540" w:lineRule="exact"/>
        <w:ind w:firstLine="640" w:firstLineChars="200"/>
        <w:rPr>
          <w:rFonts w:eastAsia="仿宋"/>
          <w:sz w:val="32"/>
          <w:szCs w:val="32"/>
        </w:rPr>
      </w:pPr>
      <w:r>
        <w:rPr>
          <w:rFonts w:hint="eastAsia" w:eastAsia="仿宋_GB2312"/>
          <w:sz w:val="32"/>
          <w:szCs w:val="32"/>
        </w:rPr>
        <w:t>2</w:t>
      </w:r>
      <w:r>
        <w:rPr>
          <w:rFonts w:eastAsia="仿宋_GB2312"/>
          <w:sz w:val="32"/>
          <w:szCs w:val="32"/>
        </w:rPr>
        <w:t>.</w:t>
      </w:r>
      <w:r>
        <w:rPr>
          <w:rFonts w:hint="eastAsia" w:eastAsia="仿宋_GB2312"/>
          <w:b/>
          <w:sz w:val="32"/>
          <w:szCs w:val="32"/>
        </w:rPr>
        <w:t>集团所属法人级次：</w:t>
      </w:r>
      <w:r>
        <w:rPr>
          <w:rFonts w:hint="eastAsia" w:eastAsia="仿宋_GB2312"/>
          <w:sz w:val="32"/>
          <w:szCs w:val="32"/>
        </w:rPr>
        <w:t>反映集团所属股权架构中最末级的具有法人资格、独立会计核算的子企业的层级。</w:t>
      </w:r>
    </w:p>
    <w:p>
      <w:pPr>
        <w:spacing w:line="540" w:lineRule="exact"/>
        <w:ind w:firstLine="640" w:firstLineChars="200"/>
        <w:rPr>
          <w:rFonts w:eastAsia="楷体_GB2312"/>
          <w:sz w:val="32"/>
          <w:szCs w:val="32"/>
        </w:rPr>
      </w:pPr>
      <w:r>
        <w:rPr>
          <w:rFonts w:eastAsia="楷体_GB2312"/>
          <w:sz w:val="32"/>
          <w:szCs w:val="32"/>
        </w:rPr>
        <w:t>（</w:t>
      </w:r>
      <w:r>
        <w:rPr>
          <w:rFonts w:hint="eastAsia" w:eastAsia="楷体_GB2312"/>
          <w:sz w:val="32"/>
          <w:szCs w:val="32"/>
        </w:rPr>
        <w:t>十二</w:t>
      </w:r>
      <w:r>
        <w:rPr>
          <w:rFonts w:eastAsia="楷体_GB2312"/>
          <w:sz w:val="32"/>
          <w:szCs w:val="32"/>
        </w:rPr>
        <w:t>）其他常见问题</w:t>
      </w:r>
    </w:p>
    <w:p>
      <w:pPr>
        <w:spacing w:line="540" w:lineRule="exact"/>
        <w:ind w:firstLine="640" w:firstLineChars="200"/>
        <w:rPr>
          <w:rFonts w:eastAsia="仿宋_GB2312"/>
          <w:sz w:val="32"/>
          <w:szCs w:val="32"/>
        </w:rPr>
      </w:pPr>
      <w:r>
        <w:rPr>
          <w:rFonts w:eastAsia="仿宋_GB2312"/>
          <w:sz w:val="32"/>
          <w:szCs w:val="32"/>
        </w:rPr>
        <w:t>1.</w:t>
      </w:r>
      <w:r>
        <w:rPr>
          <w:rFonts w:eastAsia="仿宋_GB2312"/>
          <w:b/>
          <w:sz w:val="32"/>
          <w:szCs w:val="32"/>
        </w:rPr>
        <w:t>境外投资情况表</w:t>
      </w:r>
      <w:r>
        <w:rPr>
          <w:rFonts w:hint="eastAsia" w:eastAsia="仿宋_GB2312"/>
          <w:b/>
          <w:sz w:val="32"/>
          <w:szCs w:val="32"/>
        </w:rPr>
        <w:t>：</w:t>
      </w:r>
      <w:r>
        <w:rPr>
          <w:rFonts w:hint="eastAsia" w:eastAsia="仿宋_GB2312"/>
          <w:sz w:val="32"/>
          <w:szCs w:val="32"/>
        </w:rPr>
        <w:t>由境外企业分户填报，集团汇总填报。</w:t>
      </w:r>
    </w:p>
    <w:p>
      <w:pPr>
        <w:spacing w:line="540" w:lineRule="exact"/>
        <w:ind w:firstLine="640" w:firstLineChars="200"/>
        <w:rPr>
          <w:rFonts w:eastAsia="仿宋_GB2312"/>
          <w:sz w:val="32"/>
          <w:szCs w:val="32"/>
        </w:rPr>
      </w:pPr>
      <w:r>
        <w:rPr>
          <w:rFonts w:eastAsia="仿宋_GB2312"/>
          <w:sz w:val="32"/>
          <w:szCs w:val="32"/>
        </w:rPr>
        <w:t>2.</w:t>
      </w:r>
      <w:r>
        <w:rPr>
          <w:rFonts w:hint="eastAsia" w:eastAsia="仿宋_GB2312"/>
          <w:b/>
          <w:sz w:val="32"/>
          <w:szCs w:val="32"/>
        </w:rPr>
        <w:t>企业办社会机构情况表：</w:t>
      </w:r>
      <w:r>
        <w:rPr>
          <w:rFonts w:hint="eastAsia" w:eastAsia="仿宋_GB2312"/>
          <w:sz w:val="32"/>
          <w:szCs w:val="32"/>
        </w:rPr>
        <w:t>填报范围为2020年度汇总会计报表所涉及的所有法人企业。对于二级分公司等非法人企业，也应分单位进行统计，纳入本表统计范围。</w:t>
      </w:r>
    </w:p>
    <w:p>
      <w:pPr>
        <w:spacing w:line="540" w:lineRule="exact"/>
        <w:ind w:firstLine="640" w:firstLineChars="200"/>
        <w:rPr>
          <w:rFonts w:eastAsia="仿宋_GB2312"/>
          <w:sz w:val="32"/>
          <w:szCs w:val="32"/>
        </w:rPr>
      </w:pPr>
      <w:r>
        <w:rPr>
          <w:rFonts w:hint="eastAsia" w:eastAsia="仿宋_GB2312"/>
          <w:sz w:val="32"/>
          <w:szCs w:val="32"/>
        </w:rPr>
        <w:t>3.</w:t>
      </w:r>
      <w:r>
        <w:rPr>
          <w:rFonts w:hint="eastAsia" w:eastAsia="仿宋_GB2312"/>
          <w:b/>
          <w:sz w:val="32"/>
          <w:szCs w:val="32"/>
        </w:rPr>
        <w:t>中央企业国有资本经营决算支出表：</w:t>
      </w:r>
      <w:r>
        <w:rPr>
          <w:rFonts w:hint="eastAsia" w:eastAsia="仿宋_GB2312"/>
          <w:sz w:val="32"/>
          <w:szCs w:val="32"/>
        </w:rPr>
        <w:t>填报范围为2020年收到中央国有资本经营预算资金的中央一级企业，具体由中央企业集团本部填报。</w:t>
      </w:r>
    </w:p>
    <w:p>
      <w:pPr>
        <w:spacing w:line="540" w:lineRule="exact"/>
        <w:ind w:firstLine="640" w:firstLineChars="200"/>
        <w:rPr>
          <w:rFonts w:eastAsia="仿宋_GB2312"/>
          <w:sz w:val="32"/>
          <w:szCs w:val="32"/>
        </w:rPr>
      </w:pPr>
      <w:r>
        <w:rPr>
          <w:rFonts w:hint="eastAsia" w:eastAsia="仿宋_GB2312"/>
          <w:sz w:val="32"/>
          <w:szCs w:val="32"/>
        </w:rPr>
        <w:t>4.</w:t>
      </w:r>
      <w:r>
        <w:rPr>
          <w:rFonts w:eastAsia="仿宋_GB2312"/>
          <w:sz w:val="32"/>
          <w:szCs w:val="32"/>
        </w:rPr>
        <w:t>单户企业数据修改后应及时汇总，以免造成汇总数与分户数据不一致。</w:t>
      </w:r>
    </w:p>
    <w:p>
      <w:pPr>
        <w:spacing w:line="540" w:lineRule="exact"/>
        <w:ind w:firstLine="640" w:firstLineChars="200"/>
        <w:rPr>
          <w:rFonts w:eastAsia="仿宋_GB2312"/>
          <w:sz w:val="32"/>
          <w:szCs w:val="32"/>
        </w:rPr>
      </w:pPr>
      <w:r>
        <w:rPr>
          <w:rFonts w:eastAsia="仿宋_GB2312"/>
          <w:sz w:val="32"/>
          <w:szCs w:val="32"/>
        </w:rPr>
        <w:t>5.原则上不允许存在逻辑性公式错误，若合理性公式报错，应逐一进行详细说明。有的问题不能通过公式审核暴露，需根据同比变化、逻辑合理性等</w:t>
      </w:r>
      <w:r>
        <w:rPr>
          <w:rFonts w:hint="eastAsia" w:eastAsia="仿宋_GB2312"/>
          <w:sz w:val="32"/>
          <w:szCs w:val="32"/>
        </w:rPr>
        <w:t>情况</w:t>
      </w:r>
      <w:r>
        <w:rPr>
          <w:rFonts w:eastAsia="仿宋_GB2312"/>
          <w:sz w:val="32"/>
          <w:szCs w:val="32"/>
        </w:rPr>
        <w:t>自行审核。</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Text Box 1025"/>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Text Box 1025" o:spid="_x0000_s1026" o:spt="202" type="#_x0000_t202" style="position:absolute;left:0pt;margin-top:0pt;height:10.35pt;width:4.55pt;mso-position-horizontal:center;mso-position-horizontal-relative:margin;mso-wrap-style:none;z-index:251658240;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Pi91E0AAAAAIBAAAPAAAAAAAAAAEAIAAAACIAAABkcnMvZG93bnJldi54bWxQSwEC&#10;FAAUAAAACACHTuJAr4cSjPwBAAADBAAADgAAAAAAAAABACAAAAAfAQAAZHJzL2Uyb0RvYy54bWxQ&#10;SwUGAAAAAAYABgBZAQAAjQUAAAAA&#10;">
              <v:fill on="f" focussize="0,0"/>
              <v:stroke on="f"/>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773"/>
    <w:rsid w:val="0001116B"/>
    <w:rsid w:val="00016C1B"/>
    <w:rsid w:val="00044CAE"/>
    <w:rsid w:val="000906C3"/>
    <w:rsid w:val="000A7E6E"/>
    <w:rsid w:val="000B40AC"/>
    <w:rsid w:val="000E12B8"/>
    <w:rsid w:val="000F646D"/>
    <w:rsid w:val="001B509C"/>
    <w:rsid w:val="001D6E06"/>
    <w:rsid w:val="00267829"/>
    <w:rsid w:val="002B42DF"/>
    <w:rsid w:val="002D4DFB"/>
    <w:rsid w:val="002E76DF"/>
    <w:rsid w:val="002F7E2B"/>
    <w:rsid w:val="00320317"/>
    <w:rsid w:val="00347995"/>
    <w:rsid w:val="003B0621"/>
    <w:rsid w:val="003C5C1A"/>
    <w:rsid w:val="003C605F"/>
    <w:rsid w:val="003D09C4"/>
    <w:rsid w:val="003E34F7"/>
    <w:rsid w:val="003E68FF"/>
    <w:rsid w:val="004303CC"/>
    <w:rsid w:val="00441946"/>
    <w:rsid w:val="0045115F"/>
    <w:rsid w:val="004708EA"/>
    <w:rsid w:val="004851BA"/>
    <w:rsid w:val="004C1FCE"/>
    <w:rsid w:val="004C379E"/>
    <w:rsid w:val="00506046"/>
    <w:rsid w:val="0052296E"/>
    <w:rsid w:val="005365A6"/>
    <w:rsid w:val="00572EB9"/>
    <w:rsid w:val="00576051"/>
    <w:rsid w:val="00582A50"/>
    <w:rsid w:val="005D451E"/>
    <w:rsid w:val="006162BC"/>
    <w:rsid w:val="00622709"/>
    <w:rsid w:val="006B5D16"/>
    <w:rsid w:val="006C6494"/>
    <w:rsid w:val="006D1C73"/>
    <w:rsid w:val="007077E7"/>
    <w:rsid w:val="007109AC"/>
    <w:rsid w:val="00725166"/>
    <w:rsid w:val="00746117"/>
    <w:rsid w:val="007975F7"/>
    <w:rsid w:val="007C7000"/>
    <w:rsid w:val="00813C35"/>
    <w:rsid w:val="008240F8"/>
    <w:rsid w:val="00826E03"/>
    <w:rsid w:val="008855AD"/>
    <w:rsid w:val="008A66F1"/>
    <w:rsid w:val="008B47CF"/>
    <w:rsid w:val="008F6AAD"/>
    <w:rsid w:val="00934AED"/>
    <w:rsid w:val="00941986"/>
    <w:rsid w:val="00951A6E"/>
    <w:rsid w:val="0097104E"/>
    <w:rsid w:val="009721CA"/>
    <w:rsid w:val="0098253D"/>
    <w:rsid w:val="00993F59"/>
    <w:rsid w:val="009B0611"/>
    <w:rsid w:val="009B2773"/>
    <w:rsid w:val="00A003A4"/>
    <w:rsid w:val="00A073B9"/>
    <w:rsid w:val="00A406C9"/>
    <w:rsid w:val="00A46FD8"/>
    <w:rsid w:val="00A81C58"/>
    <w:rsid w:val="00A97F63"/>
    <w:rsid w:val="00AB2B1C"/>
    <w:rsid w:val="00AD6BBC"/>
    <w:rsid w:val="00AE42B4"/>
    <w:rsid w:val="00B1708A"/>
    <w:rsid w:val="00B70081"/>
    <w:rsid w:val="00BF56EA"/>
    <w:rsid w:val="00C00AFD"/>
    <w:rsid w:val="00C75B71"/>
    <w:rsid w:val="00C910D0"/>
    <w:rsid w:val="00CC00AA"/>
    <w:rsid w:val="00CC38D5"/>
    <w:rsid w:val="00D1535C"/>
    <w:rsid w:val="00D37000"/>
    <w:rsid w:val="00D56013"/>
    <w:rsid w:val="00D660C2"/>
    <w:rsid w:val="00D71727"/>
    <w:rsid w:val="00D73273"/>
    <w:rsid w:val="00D840E4"/>
    <w:rsid w:val="00DC3C1A"/>
    <w:rsid w:val="00DE58D0"/>
    <w:rsid w:val="00DF2629"/>
    <w:rsid w:val="00E31371"/>
    <w:rsid w:val="00E4623D"/>
    <w:rsid w:val="00E464B3"/>
    <w:rsid w:val="00E56564"/>
    <w:rsid w:val="00EA4F4A"/>
    <w:rsid w:val="00EC1F96"/>
    <w:rsid w:val="00ED57DC"/>
    <w:rsid w:val="00EF4A00"/>
    <w:rsid w:val="00F176CB"/>
    <w:rsid w:val="00F3133A"/>
    <w:rsid w:val="00FC63CB"/>
    <w:rsid w:val="04A60004"/>
    <w:rsid w:val="0B644097"/>
    <w:rsid w:val="0E0A1CF0"/>
    <w:rsid w:val="105C61E9"/>
    <w:rsid w:val="13704D4B"/>
    <w:rsid w:val="15F7439C"/>
    <w:rsid w:val="1C077ED9"/>
    <w:rsid w:val="1FD63F0E"/>
    <w:rsid w:val="2DBC4AE3"/>
    <w:rsid w:val="306B3A27"/>
    <w:rsid w:val="370719A1"/>
    <w:rsid w:val="37335B01"/>
    <w:rsid w:val="3D130F7F"/>
    <w:rsid w:val="3FA17726"/>
    <w:rsid w:val="406B5CF2"/>
    <w:rsid w:val="41D22788"/>
    <w:rsid w:val="474D51CB"/>
    <w:rsid w:val="4EE77467"/>
    <w:rsid w:val="52D14455"/>
    <w:rsid w:val="57C03D49"/>
    <w:rsid w:val="590C0368"/>
    <w:rsid w:val="5ADA28E0"/>
    <w:rsid w:val="602A4398"/>
    <w:rsid w:val="64FC68A4"/>
    <w:rsid w:val="650D4BFD"/>
    <w:rsid w:val="655416EF"/>
    <w:rsid w:val="658E4AF2"/>
    <w:rsid w:val="674C1245"/>
    <w:rsid w:val="67E33269"/>
    <w:rsid w:val="7718771A"/>
    <w:rsid w:val="78052E2F"/>
    <w:rsid w:val="78B51F8E"/>
    <w:rsid w:val="798E332A"/>
    <w:rsid w:val="7D9F71E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xt256.com</Company>
  <Pages>6</Pages>
  <Words>478</Words>
  <Characters>2728</Characters>
  <Lines>22</Lines>
  <Paragraphs>6</Paragraphs>
  <TotalTime>313</TotalTime>
  <ScaleCrop>false</ScaleCrop>
  <LinksUpToDate>false</LinksUpToDate>
  <CharactersWithSpaces>3200</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2020-12-27T04:42:00Z</dcterms:created>
  <dc:creator>Owner</dc:creator>
  <cp:lastModifiedBy>MOE</cp:lastModifiedBy>
  <cp:lastPrinted>2018-01-17T07:14:00Z</cp:lastPrinted>
  <dcterms:modified xsi:type="dcterms:W3CDTF">2021-01-05T06:49:25Z</dcterms:modified>
  <dc:title>2017年度国有企业财务会计决算报表</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